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31                         </w:t>
      </w:r>
      <w:r>
        <w:rPr>
          <w:rFonts w:hint="eastAsia" w:ascii="Segoe UI" w:hAnsi="Segoe UI" w:eastAsia="等线" w:cs="Segoe UI"/>
          <w:color w:val="000000"/>
          <w:sz w:val="22"/>
          <w:szCs w:val="22"/>
          <w:lang w:val="en-US" w:eastAsia="zh-CN" w:bidi="ar"/>
        </w:rPr>
        <w:t>R2-2505182</w:t>
      </w:r>
    </w:p>
    <w:p>
      <w:pPr>
        <w:pStyle w:val="8"/>
        <w:rPr>
          <w:rFonts w:hint="eastAsia" w:eastAsia="宋体"/>
          <w:lang w:val="en-US" w:eastAsia="zh-CN"/>
        </w:rPr>
      </w:pPr>
      <w:r>
        <w:rPr>
          <w:rFonts w:hint="eastAsia" w:eastAsia="宋体"/>
          <w:lang w:val="en-US" w:eastAsia="zh-CN"/>
        </w:rPr>
        <w:t>Bangalore, India, Aug 25th–29th, 2025</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8.2.3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Random Access for A-IoT</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keepNext w:val="0"/>
        <w:keepLines w:val="0"/>
        <w:pageBreakBefore w:val="0"/>
        <w:widowControl/>
        <w:kinsoku/>
        <w:wordWrap/>
        <w:overflowPunct/>
        <w:topLinePunct w:val="0"/>
        <w:autoSpaceDE/>
        <w:autoSpaceDN/>
        <w:bidi w:val="0"/>
        <w:adjustRightInd/>
        <w:snapToGrid/>
        <w:textAlignment w:val="auto"/>
        <w:rPr>
          <w:rFonts w:hint="eastAsia" w:ascii="Arial" w:hAnsi="Arial" w:cs="Arial" w:eastAsiaTheme="minorEastAsia"/>
          <w:szCs w:val="20"/>
          <w:lang w:val="en-US"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30</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A-IoT Random access was discussed, and 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p>
    <w:p>
      <w:pPr>
        <w:pStyle w:val="16"/>
        <w:pBdr>
          <w:top w:val="single" w:color="auto" w:sz="4" w:space="1"/>
          <w:left w:val="single" w:color="auto" w:sz="4" w:space="4"/>
          <w:bottom w:val="single" w:color="auto" w:sz="4" w:space="1"/>
          <w:right w:val="single" w:color="auto" w:sz="4" w:space="4"/>
        </w:pBdr>
        <w:rPr>
          <w:b/>
          <w:bCs/>
          <w:lang w:eastAsia="en-US"/>
        </w:rPr>
      </w:pPr>
      <w:r>
        <w:rPr>
          <w:b/>
          <w:bCs/>
          <w:lang w:eastAsia="en-US"/>
        </w:rPr>
        <w:t>Agreements</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rFonts w:cs="Calibri"/>
        </w:rPr>
      </w:pPr>
      <w:r>
        <w:rPr>
          <w:rFonts w:cs="Calibri"/>
        </w:rPr>
        <w:t xml:space="preserve">For Msg1 resource selection procedure capture as guidance the countdown behaviour in the MAC specification (use TP in </w:t>
      </w:r>
      <w:r>
        <w:t>R2-2503952)</w:t>
      </w:r>
      <w:r>
        <w:rPr>
          <w:rFonts w:cs="Calibri"/>
        </w:rPr>
        <w:t>.  Capture a NOTE that other implementation are allowed.   X, Y will be signalled by paging message</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eastAsia="en-US"/>
        </w:rPr>
      </w:pPr>
      <w:r>
        <w:t>The start of the first set of MSG1 resources is indicated by Paging message directly instead of the new R2D trigger messages.  R2D trigger message is not sent in CFRA procedure.</w:t>
      </w:r>
      <w:r>
        <w:rPr>
          <w:lang w:eastAsia="en-US"/>
        </w:rPr>
        <w:t xml:space="preserve"> </w:t>
      </w:r>
      <w:r>
        <w:t xml:space="preserve">  Come back if RAN1/4 sees any issues.  Send LS to RAN1/RAN4</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eastAsia="en-US"/>
        </w:rPr>
      </w:pPr>
      <w:r>
        <w:t>FFS  R2D byte alignment dependent on TBS size discussion</w:t>
      </w: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ind w:left="1259" w:firstLine="0"/>
        <w:textAlignment w:val="auto"/>
      </w:pP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ind w:left="1259" w:firstLine="0"/>
        <w:textAlignment w:val="auto"/>
      </w:pPr>
      <w:r>
        <w:t>Agreements on RA</w:t>
      </w:r>
    </w:p>
    <w:p>
      <w:pPr>
        <w:pStyle w:val="16"/>
        <w:numPr>
          <w:ilvl w:val="0"/>
          <w:numId w:val="5"/>
        </w:numPr>
        <w:pBdr>
          <w:top w:val="single" w:color="auto" w:sz="4" w:space="1"/>
          <w:left w:val="single" w:color="auto" w:sz="4" w:space="4"/>
          <w:bottom w:val="single" w:color="auto" w:sz="4" w:space="1"/>
          <w:right w:val="single" w:color="auto" w:sz="4" w:space="4"/>
        </w:pBdr>
        <w:overflowPunct/>
        <w:autoSpaceDE/>
        <w:autoSpaceDN/>
        <w:adjustRightInd/>
        <w:ind w:left="1619" w:hanging="360"/>
        <w:textAlignment w:val="auto"/>
      </w:pPr>
      <w:r>
        <w:t>Exclude the option of  MSG2 transmission and any retransmission of MSG2 happens within a predefined time window (based on timer)</w:t>
      </w:r>
    </w:p>
    <w:p>
      <w:pPr>
        <w:pStyle w:val="16"/>
        <w:numPr>
          <w:ilvl w:val="0"/>
          <w:numId w:val="5"/>
        </w:numPr>
        <w:pBdr>
          <w:top w:val="single" w:color="auto" w:sz="4" w:space="1"/>
          <w:left w:val="single" w:color="auto" w:sz="4" w:space="4"/>
          <w:bottom w:val="single" w:color="auto" w:sz="4" w:space="1"/>
          <w:right w:val="single" w:color="auto" w:sz="4" w:space="4"/>
        </w:pBdr>
        <w:overflowPunct/>
        <w:autoSpaceDE/>
        <w:autoSpaceDN/>
        <w:adjustRightInd/>
        <w:ind w:left="1619" w:hanging="360"/>
        <w:textAlignment w:val="auto"/>
        <w:rPr>
          <w:lang w:eastAsia="ko-KR"/>
        </w:rPr>
      </w:pPr>
      <w:r>
        <w:rPr>
          <w:lang w:eastAsia="ko-KR"/>
        </w:rPr>
        <w:t xml:space="preserve">A device expecting MSG2 assumes CBRA failure if its MSG2 is not received before a boundary, where the boundary can be further downselected between option B and C below.  A device receiving MSG2 within this boundary transmits MSG3. The device does not process MSG2 (re)transmission received after the boundary. </w:t>
      </w: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ind w:left="1259" w:firstLine="0"/>
        <w:textAlignment w:val="auto"/>
        <w:rPr>
          <w:lang w:eastAsia="ko-KR"/>
        </w:rPr>
      </w:pPr>
      <w:r>
        <w:rPr>
          <w:lang w:eastAsia="ko-KR"/>
        </w:rPr>
        <w:t xml:space="preserve">Option B – the boundary is the reception of either the next R2D trigger message or the subsequent paging message </w:t>
      </w: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ind w:left="1259" w:firstLine="0"/>
        <w:textAlignment w:val="auto"/>
        <w:rPr>
          <w:lang w:eastAsia="ko-KR"/>
        </w:rPr>
      </w:pPr>
      <w:r>
        <w:rPr>
          <w:lang w:eastAsia="ko-KR"/>
        </w:rPr>
        <w:t>Option C – the boundary is the reception of either the kth R2D trigger message or the subsequent paging message (K is FFS)</w:t>
      </w: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ind w:left="1259" w:firstLine="0"/>
        <w:textAlignment w:val="auto"/>
        <w:rPr>
          <w:lang w:eastAsia="ko-KR"/>
        </w:rPr>
      </w:pPr>
      <w:r>
        <w:rPr>
          <w:lang w:eastAsia="ko-KR"/>
        </w:rPr>
        <w:t>Option A (the boundary being the subsequent paging only) is excluded.</w:t>
      </w: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ind w:left="1259" w:firstLine="0"/>
        <w:textAlignment w:val="auto"/>
        <w:rPr>
          <w:lang w:eastAsia="ko-KR"/>
        </w:rPr>
      </w:pPr>
      <w:r>
        <w:rPr>
          <w:lang w:eastAsia="ko-KR"/>
        </w:rPr>
        <w:tab/>
      </w:r>
      <w:r>
        <w:rPr>
          <w:lang w:eastAsia="ko-KR"/>
        </w:rPr>
        <w:t>For option C, further discuss in terms of complexity at the device vs reader flexibility.</w:t>
      </w:r>
    </w:p>
    <w:p>
      <w:pPr>
        <w:pStyle w:val="16"/>
        <w:numPr>
          <w:ilvl w:val="0"/>
          <w:numId w:val="5"/>
        </w:numPr>
        <w:pBdr>
          <w:top w:val="single" w:color="auto" w:sz="4" w:space="1"/>
          <w:left w:val="single" w:color="auto" w:sz="4" w:space="4"/>
          <w:bottom w:val="single" w:color="auto" w:sz="4" w:space="1"/>
          <w:right w:val="single" w:color="auto" w:sz="4" w:space="4"/>
        </w:pBdr>
        <w:overflowPunct/>
        <w:autoSpaceDE/>
        <w:autoSpaceDN/>
        <w:adjustRightInd/>
        <w:ind w:left="1619" w:hanging="360"/>
        <w:textAlignment w:val="auto"/>
        <w:rPr>
          <w:lang w:eastAsia="ko-KR"/>
        </w:rPr>
      </w:pPr>
      <w:r>
        <w:rPr>
          <w:lang w:eastAsia="ko-KR"/>
        </w:rPr>
        <w:t>Including frequency index along with RN16 in MSG2 to reduce collisions of MSG1 between different devices is feasible.  FFS Discuss further whether to include it.</w:t>
      </w: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ind w:left="1259" w:firstLine="0"/>
        <w:textAlignment w:val="auto"/>
      </w:pP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ind w:left="1259" w:firstLine="0"/>
        <w:textAlignment w:val="auto"/>
        <w:rPr>
          <w:lang w:val="en-US"/>
        </w:rPr>
      </w:pPr>
      <w:r>
        <w:rPr>
          <w:lang w:val="en-US"/>
        </w:rPr>
        <w:t>Agreements on NACK reception:</w:t>
      </w:r>
    </w:p>
    <w:p>
      <w:pPr>
        <w:pStyle w:val="16"/>
        <w:numPr>
          <w:ilvl w:val="0"/>
          <w:numId w:val="6"/>
        </w:numPr>
        <w:pBdr>
          <w:top w:val="single" w:color="auto" w:sz="4" w:space="1"/>
          <w:left w:val="single" w:color="auto" w:sz="4" w:space="4"/>
          <w:bottom w:val="single" w:color="auto" w:sz="4" w:space="1"/>
          <w:right w:val="single" w:color="auto" w:sz="4" w:space="4"/>
        </w:pBdr>
        <w:overflowPunct/>
        <w:autoSpaceDE/>
        <w:autoSpaceDN/>
        <w:adjustRightInd/>
        <w:ind w:left="1619" w:hanging="360"/>
        <w:textAlignment w:val="auto"/>
      </w:pPr>
      <w:r>
        <w:t xml:space="preserve">After MSG3 transmission, upon receiving NACK with its AS ID before subsequent paging or command addressed to this device from the reader, device determines it will perform re-access.   FFS how to specify.  </w:t>
      </w: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ind w:left="1259" w:firstLine="0"/>
        <w:textAlignment w:val="auto"/>
      </w:pP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ind w:left="1259" w:firstLine="0"/>
        <w:textAlignment w:val="auto"/>
      </w:pPr>
      <w:r>
        <w:t>Agreements on RN16/AS ID maintainance:</w:t>
      </w:r>
    </w:p>
    <w:p>
      <w:pPr>
        <w:pStyle w:val="16"/>
        <w:numPr>
          <w:ilvl w:val="0"/>
          <w:numId w:val="7"/>
        </w:numPr>
        <w:pBdr>
          <w:top w:val="single" w:color="auto" w:sz="4" w:space="1"/>
          <w:left w:val="single" w:color="auto" w:sz="4" w:space="4"/>
          <w:bottom w:val="single" w:color="auto" w:sz="4" w:space="1"/>
          <w:right w:val="single" w:color="auto" w:sz="4" w:space="4"/>
        </w:pBdr>
        <w:overflowPunct/>
        <w:autoSpaceDE/>
        <w:autoSpaceDN/>
        <w:adjustRightInd/>
        <w:ind w:left="1619" w:hanging="360"/>
        <w:textAlignment w:val="auto"/>
      </w:pPr>
      <w:r>
        <w:t xml:space="preserve">Confirm a device is not expected to maintain both AS ID and RN16.   After msg2 reception, RN16 becomes AS ID, if new AS ID was not assigned by reader.  </w:t>
      </w: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ind w:left="1259" w:firstLine="0"/>
        <w:textAlignment w:val="auto"/>
      </w:pPr>
      <w:r>
        <w:t>This implies that the reader cannot change AS ID and RN16 pair across message 2 retransmission.  How to capture device behavior is FFS</w:t>
      </w:r>
    </w:p>
    <w:p>
      <w:pPr>
        <w:pStyle w:val="16"/>
        <w:numPr>
          <w:ilvl w:val="-1"/>
          <w:numId w:val="0"/>
        </w:numPr>
        <w:pBdr>
          <w:top w:val="single" w:color="auto" w:sz="4" w:space="1"/>
          <w:left w:val="single" w:color="auto" w:sz="4" w:space="4"/>
          <w:bottom w:val="single" w:color="auto" w:sz="4" w:space="1"/>
          <w:right w:val="single" w:color="auto" w:sz="4" w:space="4"/>
        </w:pBdr>
        <w:overflowPunct/>
        <w:autoSpaceDE/>
        <w:autoSpaceDN/>
        <w:adjustRightInd/>
        <w:ind w:left="1259" w:firstLine="0"/>
        <w:textAlignment w:val="auto"/>
        <w:rPr>
          <w:lang w:eastAsia="en-US"/>
        </w:rPr>
      </w:pPr>
    </w:p>
    <w:p>
      <w:pPr>
        <w:keepNext w:val="0"/>
        <w:keepLines w:val="0"/>
        <w:pageBreakBefore w:val="0"/>
        <w:widowControl/>
        <w:numPr>
          <w:ilvl w:val="-1"/>
          <w:numId w:val="0"/>
        </w:numPr>
        <w:kinsoku/>
        <w:wordWrap/>
        <w:overflowPunct w:val="0"/>
        <w:topLinePunct w:val="0"/>
        <w:autoSpaceDE w:val="0"/>
        <w:autoSpaceDN w:val="0"/>
        <w:bidi w:val="0"/>
        <w:adjustRightInd w:val="0"/>
        <w:snapToGrid/>
        <w:spacing w:before="0" w:after="180"/>
        <w:ind w:left="0" w:firstLine="0"/>
        <w:textAlignment w:val="baseline"/>
        <w:rPr>
          <w:rFonts w:hint="eastAsia" w:ascii="Arial" w:hAnsi="Arial" w:cs="Arial" w:eastAsiaTheme="minorEastAsia"/>
          <w:szCs w:val="20"/>
          <w:lang w:val="en-GB" w:eastAsia="zh-CN"/>
        </w:rPr>
      </w:pPr>
    </w:p>
    <w:p>
      <w:pPr>
        <w:pStyle w:val="6"/>
        <w:spacing w:before="120"/>
        <w:rPr>
          <w:bCs/>
        </w:rPr>
      </w:pPr>
      <w:r>
        <w:rPr>
          <w:rFonts w:hint="eastAsia" w:ascii="Arial" w:hAnsi="Arial" w:cs="Arial"/>
          <w:szCs w:val="20"/>
        </w:rPr>
        <w:t xml:space="preserve">In this contribution, we provide our views on </w:t>
      </w:r>
      <w:r>
        <w:rPr>
          <w:rFonts w:hint="eastAsia" w:eastAsia="宋体" w:cs="Arial"/>
          <w:szCs w:val="20"/>
          <w:lang w:val="en-US" w:eastAsia="zh-CN"/>
        </w:rPr>
        <w:t>Random access</w:t>
      </w:r>
      <w:r>
        <w:rPr>
          <w:rFonts w:hint="eastAsia" w:ascii="Arial" w:hAnsi="Arial" w:eastAsia="MS Mincho"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MS Mincho" w:cs="Arial"/>
          <w:sz w:val="21"/>
          <w:szCs w:val="20"/>
          <w:lang w:val="en-US" w:eastAsia="zh-CN"/>
        </w:rPr>
        <w:t>work item</w:t>
      </w:r>
      <w:r>
        <w:rPr>
          <w:rFonts w:hint="eastAsia" w:eastAsia="宋体" w:cs="Arial"/>
          <w:szCs w:val="20"/>
          <w:lang w:val="en-US" w:eastAsia="zh-CN"/>
        </w:rPr>
        <w:t xml:space="preserve"> </w:t>
      </w:r>
    </w:p>
    <w:p>
      <w:pPr>
        <w:pStyle w:val="2"/>
        <w:numPr>
          <w:ilvl w:val="0"/>
          <w:numId w:val="3"/>
        </w:numPr>
        <w:ind w:left="360" w:leftChars="0" w:hanging="360" w:firstLineChars="0"/>
        <w:rPr>
          <w:rFonts w:hint="default" w:eastAsia="宋体"/>
          <w:lang w:val="en-US" w:eastAsia="zh-CN"/>
        </w:rPr>
      </w:pPr>
      <w:r>
        <w:t>Discussion</w:t>
      </w:r>
    </w:p>
    <w:p>
      <w:pPr>
        <w:pStyle w:val="3"/>
        <w:keepNext/>
        <w:numPr>
          <w:ilvl w:val="1"/>
          <w:numId w:val="3"/>
        </w:numPr>
        <w:tabs>
          <w:tab w:val="left" w:pos="851"/>
        </w:tabs>
        <w:ind w:left="720" w:hanging="720"/>
      </w:pPr>
      <w:r>
        <w:rPr>
          <w:rFonts w:hint="eastAsia"/>
        </w:rPr>
        <w:t xml:space="preserve">MSG2 </w:t>
      </w:r>
      <w:r>
        <w:rPr>
          <w:rFonts w:hint="eastAsia"/>
          <w:lang w:val="en-US" w:eastAsia="zh-CN"/>
        </w:rPr>
        <w:t>monitor window</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632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keepNext w:val="0"/>
              <w:keepLines w:val="0"/>
              <w:widowControl w:val="0"/>
              <w:suppressLineNumbers w:val="0"/>
              <w:spacing w:beforeAutospacing="0" w:after="0" w:afterAutospacing="0"/>
              <w:ind w:left="0" w:right="0"/>
              <w:jc w:val="both"/>
              <w:rPr>
                <w:rFonts w:hint="eastAsia"/>
                <w:sz w:val="20"/>
              </w:rPr>
            </w:pPr>
            <w:r>
              <w:rPr>
                <w:rFonts w:hint="eastAsia"/>
                <w:sz w:val="20"/>
              </w:rPr>
              <w:t>Issue 2-4: CBRA failure detection</w:t>
            </w:r>
          </w:p>
        </w:tc>
        <w:tc>
          <w:tcPr>
            <w:tcW w:w="6324" w:type="dxa"/>
          </w:tcPr>
          <w:p>
            <w:pPr>
              <w:pStyle w:val="19"/>
              <w:keepNext w:val="0"/>
              <w:keepLines w:val="0"/>
              <w:widowControl w:val="0"/>
              <w:numPr>
                <w:ilvl w:val="0"/>
                <w:numId w:val="8"/>
              </w:numPr>
              <w:suppressLineNumbers w:val="0"/>
              <w:tabs>
                <w:tab w:val="left" w:pos="992"/>
              </w:tabs>
              <w:spacing w:beforeAutospacing="0" w:after="0" w:afterAutospacing="0"/>
              <w:ind w:right="0"/>
              <w:jc w:val="both"/>
              <w:rPr>
                <w:rFonts w:hint="eastAsia"/>
                <w:sz w:val="20"/>
              </w:rPr>
            </w:pPr>
            <w:r>
              <w:rPr>
                <w:rFonts w:hint="eastAsia"/>
                <w:sz w:val="20"/>
              </w:rPr>
              <w:t>Further down selection between option B and C for msg2 monitor window in CBRA.</w:t>
            </w:r>
          </w:p>
          <w:p>
            <w:pPr>
              <w:pStyle w:val="19"/>
              <w:keepNext w:val="0"/>
              <w:keepLines w:val="0"/>
              <w:widowControl w:val="0"/>
              <w:numPr>
                <w:ilvl w:val="0"/>
                <w:numId w:val="8"/>
              </w:numPr>
              <w:suppressLineNumbers w:val="0"/>
              <w:tabs>
                <w:tab w:val="left" w:pos="992"/>
              </w:tabs>
              <w:spacing w:beforeAutospacing="0" w:after="0" w:afterAutospacing="0"/>
              <w:ind w:right="0"/>
              <w:jc w:val="both"/>
              <w:rPr>
                <w:rFonts w:hint="eastAsia" w:ascii="Arial" w:hAnsi="Arial" w:cs="Arial"/>
                <w:i/>
                <w:iCs/>
                <w:color w:val="5B9BD5" w:themeColor="accent1"/>
                <w:sz w:val="20"/>
                <w:szCs w:val="20"/>
                <w:lang w:eastAsia="sv-SE"/>
                <w14:textFill>
                  <w14:solidFill>
                    <w14:schemeClr w14:val="accent1"/>
                  </w14:solidFill>
                </w14:textFill>
              </w:rPr>
            </w:pPr>
            <w:r>
              <w:rPr>
                <w:rFonts w:hint="eastAsia" w:ascii="Arial" w:hAnsi="Arial" w:cs="Arial"/>
                <w:i/>
                <w:iCs/>
                <w:color w:val="5B9BD5" w:themeColor="accent1"/>
                <w:sz w:val="20"/>
                <w:szCs w:val="20"/>
                <w:lang w:eastAsia="sv-SE"/>
                <w14:textFill>
                  <w14:solidFill>
                    <w14:schemeClr w14:val="accent1"/>
                  </w14:solidFill>
                </w14:textFill>
              </w:rPr>
              <w:t>1</w:t>
            </w:r>
            <w:r>
              <w:rPr>
                <w:rFonts w:hint="eastAsia" w:ascii="Arial" w:hAnsi="Arial" w:cs="Arial"/>
                <w:i/>
                <w:iCs/>
                <w:color w:val="5B9BD5" w:themeColor="accent1"/>
                <w:sz w:val="20"/>
                <w:szCs w:val="20"/>
                <w:lang w:eastAsia="sv-SE"/>
                <w14:textFill>
                  <w14:solidFill>
                    <w14:schemeClr w14:val="accent1"/>
                  </w14:solidFill>
                </w14:textFill>
              </w:rPr>
              <w:tab/>
            </w:r>
            <w:r>
              <w:rPr>
                <w:rFonts w:hint="eastAsia" w:ascii="Arial" w:hAnsi="Arial" w:cs="Arial"/>
                <w:i/>
                <w:iCs/>
                <w:color w:val="5B9BD5" w:themeColor="accent1"/>
                <w:sz w:val="20"/>
                <w:szCs w:val="20"/>
                <w:lang w:eastAsia="sv-SE"/>
                <w14:textFill>
                  <w14:solidFill>
                    <w14:schemeClr w14:val="accent1"/>
                  </w14:solidFill>
                </w14:textFill>
              </w:rPr>
              <w:t>Exclude the option of  MSG2 transmission and any retransmission of MSG2 happens within a predefined time window (based on timer)</w:t>
            </w:r>
          </w:p>
          <w:p>
            <w:pPr>
              <w:pStyle w:val="19"/>
              <w:keepNext w:val="0"/>
              <w:keepLines w:val="0"/>
              <w:widowControl w:val="0"/>
              <w:numPr>
                <w:ilvl w:val="0"/>
                <w:numId w:val="8"/>
              </w:numPr>
              <w:suppressLineNumbers w:val="0"/>
              <w:tabs>
                <w:tab w:val="left" w:pos="992"/>
              </w:tabs>
              <w:spacing w:beforeAutospacing="0" w:after="0" w:afterAutospacing="0"/>
              <w:ind w:right="0"/>
              <w:jc w:val="both"/>
              <w:rPr>
                <w:rFonts w:hint="eastAsia" w:ascii="Arial" w:hAnsi="Arial" w:cs="Arial"/>
                <w:i/>
                <w:iCs/>
                <w:color w:val="5B9BD5" w:themeColor="accent1"/>
                <w:sz w:val="20"/>
                <w:szCs w:val="20"/>
                <w:lang w:eastAsia="sv-SE"/>
                <w14:textFill>
                  <w14:solidFill>
                    <w14:schemeClr w14:val="accent1"/>
                  </w14:solidFill>
                </w14:textFill>
              </w:rPr>
            </w:pPr>
            <w:r>
              <w:rPr>
                <w:rFonts w:hint="eastAsia" w:ascii="Arial" w:hAnsi="Arial" w:cs="Arial"/>
                <w:i/>
                <w:iCs/>
                <w:color w:val="5B9BD5" w:themeColor="accent1"/>
                <w:sz w:val="20"/>
                <w:szCs w:val="20"/>
                <w:lang w:eastAsia="sv-SE"/>
                <w14:textFill>
                  <w14:solidFill>
                    <w14:schemeClr w14:val="accent1"/>
                  </w14:solidFill>
                </w14:textFill>
              </w:rPr>
              <w:t>2</w:t>
            </w:r>
            <w:r>
              <w:rPr>
                <w:rFonts w:hint="eastAsia" w:ascii="Arial" w:hAnsi="Arial" w:cs="Arial"/>
                <w:i/>
                <w:iCs/>
                <w:color w:val="5B9BD5" w:themeColor="accent1"/>
                <w:sz w:val="20"/>
                <w:szCs w:val="20"/>
                <w:lang w:eastAsia="sv-SE"/>
                <w14:textFill>
                  <w14:solidFill>
                    <w14:schemeClr w14:val="accent1"/>
                  </w14:solidFill>
                </w14:textFill>
              </w:rPr>
              <w:tab/>
            </w:r>
            <w:r>
              <w:rPr>
                <w:rFonts w:hint="eastAsia" w:ascii="Arial" w:hAnsi="Arial" w:cs="Arial"/>
                <w:i/>
                <w:iCs/>
                <w:color w:val="5B9BD5" w:themeColor="accent1"/>
                <w:sz w:val="20"/>
                <w:szCs w:val="20"/>
                <w:lang w:eastAsia="sv-SE"/>
                <w14:textFill>
                  <w14:solidFill>
                    <w14:schemeClr w14:val="accent1"/>
                  </w14:solidFill>
                </w14:textFill>
              </w:rPr>
              <w:t xml:space="preserve">A device expecting MSG2 assumes CBRA failure if its MSG2 is not received before a boundary, where the boundary can be further downselected between option B and C below.  A device receiving MSG2 within this boundary transmits MSG3. The device does not process MSG2 (re)transmission received after the boundary. </w:t>
            </w:r>
          </w:p>
          <w:p>
            <w:pPr>
              <w:pStyle w:val="19"/>
              <w:keepNext w:val="0"/>
              <w:keepLines w:val="0"/>
              <w:widowControl w:val="0"/>
              <w:numPr>
                <w:ilvl w:val="0"/>
                <w:numId w:val="8"/>
              </w:numPr>
              <w:suppressLineNumbers w:val="0"/>
              <w:tabs>
                <w:tab w:val="left" w:pos="992"/>
              </w:tabs>
              <w:spacing w:beforeAutospacing="0" w:after="0" w:afterAutospacing="0"/>
              <w:ind w:right="0"/>
              <w:jc w:val="both"/>
              <w:rPr>
                <w:rFonts w:hint="eastAsia" w:ascii="Arial" w:hAnsi="Arial" w:cs="Arial"/>
                <w:i/>
                <w:iCs/>
                <w:color w:val="5B9BD5" w:themeColor="accent1"/>
                <w:sz w:val="20"/>
                <w:szCs w:val="20"/>
                <w:lang w:eastAsia="sv-SE"/>
                <w14:textFill>
                  <w14:solidFill>
                    <w14:schemeClr w14:val="accent1"/>
                  </w14:solidFill>
                </w14:textFill>
              </w:rPr>
            </w:pPr>
            <w:r>
              <w:rPr>
                <w:rFonts w:hint="eastAsia" w:ascii="Arial" w:hAnsi="Arial" w:cs="Arial"/>
                <w:i/>
                <w:iCs/>
                <w:color w:val="5B9BD5" w:themeColor="accent1"/>
                <w:sz w:val="20"/>
                <w:szCs w:val="20"/>
                <w:lang w:eastAsia="sv-SE"/>
                <w14:textFill>
                  <w14:solidFill>
                    <w14:schemeClr w14:val="accent1"/>
                  </w14:solidFill>
                </w14:textFill>
              </w:rPr>
              <w:t xml:space="preserve">Option B – the boundary is the reception of either the next R2D trigger message or the subsequent paging message </w:t>
            </w:r>
          </w:p>
          <w:p>
            <w:pPr>
              <w:pStyle w:val="19"/>
              <w:keepNext w:val="0"/>
              <w:keepLines w:val="0"/>
              <w:widowControl w:val="0"/>
              <w:numPr>
                <w:ilvl w:val="0"/>
                <w:numId w:val="8"/>
              </w:numPr>
              <w:suppressLineNumbers w:val="0"/>
              <w:tabs>
                <w:tab w:val="left" w:pos="992"/>
              </w:tabs>
              <w:spacing w:beforeAutospacing="0" w:after="0" w:afterAutospacing="0"/>
              <w:ind w:right="0"/>
              <w:jc w:val="both"/>
              <w:rPr>
                <w:rFonts w:hint="eastAsia" w:ascii="Arial" w:hAnsi="Arial" w:cs="Arial"/>
                <w:i/>
                <w:iCs/>
                <w:color w:val="5B9BD5" w:themeColor="accent1"/>
                <w:sz w:val="20"/>
                <w:szCs w:val="20"/>
                <w:lang w:eastAsia="sv-SE"/>
                <w14:textFill>
                  <w14:solidFill>
                    <w14:schemeClr w14:val="accent1"/>
                  </w14:solidFill>
                </w14:textFill>
              </w:rPr>
            </w:pPr>
            <w:r>
              <w:rPr>
                <w:rFonts w:hint="eastAsia" w:ascii="Arial" w:hAnsi="Arial" w:cs="Arial"/>
                <w:i/>
                <w:iCs/>
                <w:color w:val="5B9BD5" w:themeColor="accent1"/>
                <w:sz w:val="20"/>
                <w:szCs w:val="20"/>
                <w:lang w:eastAsia="sv-SE"/>
                <w14:textFill>
                  <w14:solidFill>
                    <w14:schemeClr w14:val="accent1"/>
                  </w14:solidFill>
                </w14:textFill>
              </w:rPr>
              <w:t>Option C – the boundary is the reception of either the kth R2D trigger message or the subsequent paging message (K is FFS)</w:t>
            </w:r>
          </w:p>
          <w:p>
            <w:pPr>
              <w:pStyle w:val="19"/>
              <w:keepNext w:val="0"/>
              <w:keepLines w:val="0"/>
              <w:widowControl w:val="0"/>
              <w:numPr>
                <w:ilvl w:val="0"/>
                <w:numId w:val="8"/>
              </w:numPr>
              <w:suppressLineNumbers w:val="0"/>
              <w:tabs>
                <w:tab w:val="left" w:pos="992"/>
              </w:tabs>
              <w:spacing w:beforeAutospacing="0" w:after="0" w:afterAutospacing="0"/>
              <w:ind w:right="0"/>
              <w:jc w:val="both"/>
              <w:rPr>
                <w:rFonts w:hint="eastAsia" w:ascii="Arial" w:hAnsi="Arial" w:cs="Arial"/>
                <w:i/>
                <w:iCs/>
                <w:color w:val="5B9BD5" w:themeColor="accent1"/>
                <w:sz w:val="20"/>
                <w:szCs w:val="20"/>
                <w:lang w:eastAsia="sv-SE"/>
                <w14:textFill>
                  <w14:solidFill>
                    <w14:schemeClr w14:val="accent1"/>
                  </w14:solidFill>
                </w14:textFill>
              </w:rPr>
            </w:pPr>
            <w:r>
              <w:rPr>
                <w:rFonts w:hint="eastAsia" w:ascii="Arial" w:hAnsi="Arial" w:cs="Arial"/>
                <w:i/>
                <w:iCs/>
                <w:color w:val="5B9BD5" w:themeColor="accent1"/>
                <w:sz w:val="20"/>
                <w:szCs w:val="20"/>
                <w:lang w:eastAsia="sv-SE"/>
                <w14:textFill>
                  <w14:solidFill>
                    <w14:schemeClr w14:val="accent1"/>
                  </w14:solidFill>
                </w14:textFill>
              </w:rPr>
              <w:t>Option A (the boundary being the subsequent paging only) is excluded.</w:t>
            </w:r>
          </w:p>
          <w:p>
            <w:pPr>
              <w:pStyle w:val="19"/>
              <w:keepNext w:val="0"/>
              <w:keepLines w:val="0"/>
              <w:widowControl w:val="0"/>
              <w:numPr>
                <w:ilvl w:val="0"/>
                <w:numId w:val="8"/>
              </w:numPr>
              <w:suppressLineNumbers w:val="0"/>
              <w:tabs>
                <w:tab w:val="left" w:pos="992"/>
              </w:tabs>
              <w:spacing w:beforeAutospacing="0" w:after="0" w:afterAutospacing="0"/>
              <w:ind w:right="0"/>
              <w:jc w:val="both"/>
              <w:rPr>
                <w:rFonts w:hint="eastAsia"/>
                <w:sz w:val="20"/>
              </w:rPr>
            </w:pPr>
            <w:r>
              <w:rPr>
                <w:rFonts w:hint="eastAsia" w:ascii="Arial" w:hAnsi="Arial" w:cs="Arial"/>
                <w:i/>
                <w:iCs/>
                <w:color w:val="5B9BD5" w:themeColor="accent1"/>
                <w:sz w:val="20"/>
                <w:szCs w:val="20"/>
                <w:lang w:eastAsia="sv-SE"/>
                <w14:textFill>
                  <w14:solidFill>
                    <w14:schemeClr w14:val="accent1"/>
                  </w14:solidFill>
                </w14:textFill>
              </w:rPr>
              <w:tab/>
            </w:r>
            <w:r>
              <w:rPr>
                <w:rFonts w:hint="eastAsia" w:ascii="Arial" w:hAnsi="Arial" w:cs="Arial"/>
                <w:i/>
                <w:iCs/>
                <w:color w:val="5B9BD5" w:themeColor="accent1"/>
                <w:sz w:val="20"/>
                <w:szCs w:val="20"/>
                <w:lang w:eastAsia="sv-SE"/>
                <w14:textFill>
                  <w14:solidFill>
                    <w14:schemeClr w14:val="accent1"/>
                  </w14:solidFill>
                </w14:textFill>
              </w:rPr>
              <w:t>For option C, further discuss in terms of complexity at the device vs reader flexibility.</w:t>
            </w:r>
          </w:p>
        </w:tc>
        <w:tc>
          <w:tcPr>
            <w:tcW w:w="1312" w:type="dxa"/>
          </w:tcPr>
          <w:p>
            <w:pPr>
              <w:keepNext w:val="0"/>
              <w:keepLines w:val="0"/>
              <w:widowControl w:val="0"/>
              <w:suppressLineNumbers w:val="0"/>
              <w:spacing w:beforeAutospacing="0" w:after="0" w:afterAutospacing="0"/>
              <w:ind w:left="0" w:right="0"/>
              <w:jc w:val="both"/>
              <w:rPr>
                <w:rFonts w:hint="eastAsia"/>
                <w:sz w:val="20"/>
              </w:rPr>
            </w:pPr>
            <w:r>
              <w:rPr>
                <w:rFonts w:hint="eastAsia"/>
                <w:sz w:val="20"/>
              </w:rPr>
              <w:t>To be discussed by company contributions</w:t>
            </w:r>
          </w:p>
        </w:tc>
      </w:tr>
    </w:tbl>
    <w:p/>
    <w:p>
      <w:pPr>
        <w:rPr>
          <w:rFonts w:hint="eastAsia" w:eastAsia="宋体"/>
          <w:lang w:val="en-US" w:eastAsia="zh-CN"/>
        </w:rPr>
      </w:pPr>
      <w:r>
        <w:rPr>
          <w:rFonts w:hint="eastAsia"/>
        </w:rPr>
        <w:t xml:space="preserve">In the </w:t>
      </w:r>
      <w:r>
        <w:rPr>
          <w:rFonts w:hint="eastAsia" w:eastAsia="宋体"/>
          <w:lang w:val="en-US" w:eastAsia="zh-CN"/>
        </w:rPr>
        <w:t xml:space="preserve">last meeting how to define MSG2 monitor window in CBRA is discussed, and the options of MSG2 transmission and any retransmission of MSG2 happens within a predefined time window and before next paging are excluded. A device expecting MSG2 assumes CBRA failure if its MSG2 is not received before a boundary, where the boundary can be further downselected between option B and C. The device does not process MSG2 (re)transmission received after the boundary. The difference between Option B and C is whether the boundary is the reception of the next or the Kth R2D trigger message. For option B, it means the reader has to complete the transmission or retransmission of MSG2 before the subsequent R2D trigger, and the Msg2 can only echo X*Y RN16s with the benefit of less latency for device in success case. For optionC, the Msg2 can echo K*X*Y RN16s with the drawback of higher RN collision probability and latency for success cases. From our point of view, although the option C brings reader flexibility, however it may brings device complexity and MSG2 collision probaility, and for success cases it also brings device power consumption as the device may have to wait more time to get its Msg2. To keep things simple, the Option B can be adopted, thus </w:t>
      </w:r>
      <w:r>
        <w:rPr>
          <w:lang w:eastAsia="ko-KR"/>
        </w:rPr>
        <w:t xml:space="preserve">the boundary </w:t>
      </w:r>
      <w:r>
        <w:rPr>
          <w:rFonts w:hint="eastAsia" w:eastAsia="宋体"/>
          <w:lang w:val="en-US" w:eastAsia="zh-CN"/>
        </w:rPr>
        <w:t xml:space="preserve">for msg2 reception </w:t>
      </w:r>
      <w:r>
        <w:rPr>
          <w:lang w:eastAsia="ko-KR"/>
        </w:rPr>
        <w:t>is the reception of either the next R2D trigger message or the subsequent paging message</w:t>
      </w:r>
      <w:r>
        <w:rPr>
          <w:rFonts w:hint="eastAsia" w:eastAsia="宋体"/>
          <w:lang w:val="en-US" w:eastAsia="zh-CN"/>
        </w:rPr>
        <w:t>.</w:t>
      </w:r>
    </w:p>
    <w:p>
      <w:pPr>
        <w:rPr>
          <w:rFonts w:hint="default" w:eastAsia="宋体"/>
          <w:lang w:val="en-US" w:eastAsia="zh-CN"/>
        </w:rPr>
      </w:pPr>
    </w:p>
    <w:p>
      <w:pPr>
        <w:pStyle w:val="6"/>
        <w:spacing w:after="313" w:afterLines="100" w:line="360" w:lineRule="auto"/>
        <w:rPr>
          <w:rFonts w:hint="default"/>
          <w:b/>
          <w:bCs w:val="0"/>
          <w:lang w:val="en-US" w:eastAsia="zh-CN"/>
        </w:rPr>
      </w:pPr>
      <w:r>
        <w:rPr>
          <w:rFonts w:hint="eastAsia" w:ascii="Arial" w:hAnsi="Arial" w:cs="Arial" w:eastAsiaTheme="minorEastAsia"/>
          <w:b/>
          <w:bCs w:val="0"/>
          <w:sz w:val="20"/>
          <w:szCs w:val="20"/>
          <w:lang w:val="en-US" w:eastAsia="zh-CN"/>
        </w:rPr>
        <w:t>Proposal</w:t>
      </w:r>
      <w:r>
        <w:rPr>
          <w:rFonts w:hint="eastAsia" w:cs="Arial" w:eastAsiaTheme="minorEastAsia"/>
          <w:b/>
          <w:bCs w:val="0"/>
          <w:sz w:val="20"/>
          <w:szCs w:val="20"/>
          <w:lang w:val="en-US" w:eastAsia="zh-CN"/>
        </w:rPr>
        <w:t xml:space="preserve"> 1</w:t>
      </w:r>
      <w:r>
        <w:rPr>
          <w:rFonts w:hint="eastAsia" w:ascii="Arial" w:hAnsi="Arial" w:cs="Arial" w:eastAsiaTheme="minorEastAsia"/>
          <w:b/>
          <w:bCs w:val="0"/>
          <w:sz w:val="20"/>
          <w:szCs w:val="20"/>
          <w:lang w:val="en-US" w:eastAsia="zh-CN"/>
        </w:rPr>
        <w:t xml:space="preserve">: </w:t>
      </w:r>
      <w:r>
        <w:rPr>
          <w:rFonts w:hint="eastAsia" w:cs="Arial" w:eastAsiaTheme="minorEastAsia"/>
          <w:b/>
          <w:bCs w:val="0"/>
          <w:sz w:val="20"/>
          <w:szCs w:val="20"/>
          <w:lang w:val="en-US" w:eastAsia="zh-CN"/>
        </w:rPr>
        <w:t xml:space="preserve">For MSG2 reception, </w:t>
      </w:r>
      <w:r>
        <w:rPr>
          <w:b/>
          <w:bCs w:val="0"/>
          <w:szCs w:val="20"/>
          <w:lang w:eastAsia="ko-KR"/>
        </w:rPr>
        <w:t>the boundary is the reception of either the next R2D trigger message or the subsequent paging message</w:t>
      </w:r>
      <w:r>
        <w:rPr>
          <w:rFonts w:hint="eastAsia" w:cs="Arial" w:eastAsiaTheme="minorEastAsia"/>
          <w:b/>
          <w:bCs w:val="0"/>
          <w:sz w:val="21"/>
          <w:szCs w:val="20"/>
          <w:lang w:val="en-US" w:eastAsia="zh-CN"/>
        </w:rPr>
        <w:t>.</w:t>
      </w:r>
    </w:p>
    <w:p>
      <w:pPr>
        <w:pStyle w:val="3"/>
        <w:keepNext/>
        <w:numPr>
          <w:ilvl w:val="1"/>
          <w:numId w:val="3"/>
        </w:numPr>
        <w:tabs>
          <w:tab w:val="left" w:pos="851"/>
        </w:tabs>
        <w:ind w:left="720" w:hanging="720"/>
        <w:rPr>
          <w:rFonts w:hint="default"/>
          <w:lang w:val="en-US" w:eastAsia="zh-CN"/>
        </w:rPr>
      </w:pPr>
      <w:r>
        <w:t>random ID differentiation in Msg2</w:t>
      </w:r>
    </w:p>
    <w:p>
      <w:pPr>
        <w:rPr>
          <w:rFonts w:hint="default"/>
          <w:lang w:val="en-US" w:eastAsia="zh-CN"/>
        </w:rPr>
      </w:pP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632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6" w:type="dxa"/>
          </w:tcPr>
          <w:p>
            <w:pPr>
              <w:keepNext w:val="0"/>
              <w:keepLines w:val="0"/>
              <w:widowControl w:val="0"/>
              <w:suppressLineNumbers w:val="0"/>
              <w:spacing w:beforeAutospacing="0" w:after="0" w:afterAutospacing="0"/>
              <w:ind w:left="0" w:right="0"/>
              <w:jc w:val="both"/>
              <w:rPr>
                <w:rFonts w:hint="eastAsia"/>
                <w:sz w:val="20"/>
              </w:rPr>
            </w:pPr>
            <w:r>
              <w:rPr>
                <w:rFonts w:hint="eastAsia"/>
                <w:sz w:val="20"/>
              </w:rPr>
              <w:t>Issue 2-5:</w:t>
            </w:r>
          </w:p>
          <w:p>
            <w:pPr>
              <w:keepNext w:val="0"/>
              <w:keepLines w:val="0"/>
              <w:widowControl w:val="0"/>
              <w:suppressLineNumbers w:val="0"/>
              <w:spacing w:beforeAutospacing="0" w:after="0" w:afterAutospacing="0"/>
              <w:ind w:left="0" w:right="0"/>
              <w:jc w:val="both"/>
              <w:rPr>
                <w:rFonts w:hint="eastAsia"/>
                <w:sz w:val="20"/>
              </w:rPr>
            </w:pPr>
            <w:r>
              <w:rPr>
                <w:rFonts w:hint="eastAsia"/>
                <w:sz w:val="20"/>
              </w:rPr>
              <w:t>random ID differentiation in Msg2</w:t>
            </w:r>
          </w:p>
        </w:tc>
        <w:tc>
          <w:tcPr>
            <w:tcW w:w="6324" w:type="dxa"/>
          </w:tcPr>
          <w:p>
            <w:pPr>
              <w:keepNext w:val="0"/>
              <w:keepLines w:val="0"/>
              <w:widowControl w:val="0"/>
              <w:suppressLineNumbers w:val="0"/>
              <w:spacing w:beforeAutospacing="0" w:after="0" w:afterAutospacing="0"/>
              <w:ind w:left="0" w:right="0"/>
              <w:jc w:val="both"/>
              <w:rPr>
                <w:rFonts w:hint="eastAsia"/>
                <w:sz w:val="20"/>
              </w:rPr>
            </w:pPr>
            <w:r>
              <w:rPr>
                <w:rFonts w:hint="eastAsia"/>
                <w:sz w:val="20"/>
              </w:rPr>
              <w:t>Whether to include frequency index along with RN16 in MSG2 to reduce collisions of MSG1 between different devices.</w:t>
            </w:r>
          </w:p>
          <w:p>
            <w:pPr>
              <w:pStyle w:val="19"/>
              <w:keepNext w:val="0"/>
              <w:keepLines w:val="0"/>
              <w:widowControl w:val="0"/>
              <w:numPr>
                <w:ilvl w:val="0"/>
                <w:numId w:val="8"/>
              </w:numPr>
              <w:suppressLineNumbers w:val="0"/>
              <w:tabs>
                <w:tab w:val="left" w:pos="992"/>
              </w:tabs>
              <w:spacing w:beforeAutospacing="0" w:after="0" w:afterAutospacing="0"/>
              <w:ind w:right="0"/>
              <w:jc w:val="both"/>
              <w:rPr>
                <w:rFonts w:hint="eastAsia" w:ascii="Arial" w:hAnsi="Arial" w:cs="Arial"/>
                <w:i/>
                <w:iCs/>
                <w:color w:val="5B9BD5" w:themeColor="accent1"/>
                <w:sz w:val="20"/>
                <w:szCs w:val="20"/>
                <w:lang w:eastAsia="sv-SE"/>
                <w14:textFill>
                  <w14:solidFill>
                    <w14:schemeClr w14:val="accent1"/>
                  </w14:solidFill>
                </w14:textFill>
              </w:rPr>
            </w:pPr>
            <w:r>
              <w:rPr>
                <w:rFonts w:hint="eastAsia" w:ascii="Arial" w:hAnsi="Arial" w:cs="Arial"/>
                <w:i/>
                <w:iCs/>
                <w:color w:val="5B9BD5" w:themeColor="accent1"/>
                <w:sz w:val="20"/>
                <w:szCs w:val="20"/>
                <w:lang w:eastAsia="sv-SE"/>
                <w14:textFill>
                  <w14:solidFill>
                    <w14:schemeClr w14:val="accent1"/>
                  </w14:solidFill>
                </w14:textFill>
              </w:rPr>
              <w:t>In previous meetings, RAN2 discussed whether Msg2 need to include more information on top of the random ID to avoid random ID collision, but there was no consensus.</w:t>
            </w:r>
          </w:p>
          <w:p>
            <w:pPr>
              <w:pStyle w:val="19"/>
              <w:keepNext w:val="0"/>
              <w:keepLines w:val="0"/>
              <w:widowControl w:val="0"/>
              <w:numPr>
                <w:ilvl w:val="0"/>
                <w:numId w:val="8"/>
              </w:numPr>
              <w:suppressLineNumbers w:val="0"/>
              <w:tabs>
                <w:tab w:val="left" w:pos="992"/>
              </w:tabs>
              <w:spacing w:beforeAutospacing="0" w:after="0" w:afterAutospacing="0"/>
              <w:ind w:right="0"/>
              <w:jc w:val="both"/>
              <w:rPr>
                <w:rFonts w:hint="eastAsia" w:ascii="Arial" w:hAnsi="Arial" w:cs="Arial"/>
                <w:i/>
                <w:iCs/>
                <w:color w:val="5B9BD5" w:themeColor="accent1"/>
                <w:sz w:val="20"/>
                <w:szCs w:val="20"/>
                <w:lang w:eastAsia="sv-SE"/>
                <w14:textFill>
                  <w14:solidFill>
                    <w14:schemeClr w14:val="accent1"/>
                  </w14:solidFill>
                </w14:textFill>
              </w:rPr>
            </w:pPr>
            <w:r>
              <w:rPr>
                <w:rFonts w:hint="eastAsia" w:ascii="Arial" w:hAnsi="Arial" w:cs="Arial"/>
                <w:i/>
                <w:iCs/>
                <w:color w:val="5B9BD5" w:themeColor="accent1"/>
                <w:sz w:val="20"/>
                <w:szCs w:val="20"/>
                <w:lang w:eastAsia="sv-SE"/>
                <w14:textFill>
                  <w14:solidFill>
                    <w14:schemeClr w14:val="accent1"/>
                  </w14:solidFill>
                </w14:textFill>
              </w:rPr>
              <w:t>RAN2#130 agreement: Including frequency index along with RN16 in MSG2 to reduce collisions of MSG1 between different devices is feasible.  FFS Discuss further whether to include it.</w:t>
            </w:r>
          </w:p>
          <w:p>
            <w:pPr>
              <w:pStyle w:val="19"/>
              <w:keepNext w:val="0"/>
              <w:keepLines w:val="0"/>
              <w:widowControl w:val="0"/>
              <w:numPr>
                <w:ilvl w:val="0"/>
                <w:numId w:val="8"/>
              </w:numPr>
              <w:suppressLineNumbers w:val="0"/>
              <w:tabs>
                <w:tab w:val="left" w:pos="992"/>
              </w:tabs>
              <w:spacing w:beforeAutospacing="0" w:after="0" w:afterAutospacing="0"/>
              <w:ind w:right="0"/>
              <w:jc w:val="both"/>
              <w:rPr>
                <w:rFonts w:hint="eastAsia"/>
                <w:sz w:val="20"/>
              </w:rPr>
            </w:pPr>
            <w:r>
              <w:rPr>
                <w:rFonts w:hint="eastAsia" w:ascii="Arial" w:hAnsi="Arial" w:cs="Arial"/>
                <w:i/>
                <w:iCs/>
                <w:color w:val="5B9BD5" w:themeColor="accent1"/>
                <w:sz w:val="20"/>
                <w:szCs w:val="20"/>
                <w:lang w:eastAsia="sv-SE"/>
                <w14:textFill>
                  <w14:solidFill>
                    <w14:schemeClr w14:val="accent1"/>
                  </w14:solidFill>
                </w14:textFill>
              </w:rPr>
              <w:t>Status in running CR: not captured yet.</w:t>
            </w:r>
          </w:p>
        </w:tc>
        <w:tc>
          <w:tcPr>
            <w:tcW w:w="1312" w:type="dxa"/>
          </w:tcPr>
          <w:p>
            <w:pPr>
              <w:keepNext w:val="0"/>
              <w:keepLines w:val="0"/>
              <w:widowControl w:val="0"/>
              <w:suppressLineNumbers w:val="0"/>
              <w:spacing w:beforeAutospacing="0" w:after="0" w:afterAutospacing="0"/>
              <w:ind w:left="0" w:right="0"/>
              <w:jc w:val="both"/>
              <w:rPr>
                <w:rFonts w:hint="eastAsia"/>
                <w:sz w:val="20"/>
              </w:rPr>
            </w:pPr>
            <w:r>
              <w:rPr>
                <w:rFonts w:hint="eastAsia"/>
                <w:sz w:val="20"/>
              </w:rPr>
              <w:t>To be discussed by company contributions</w:t>
            </w:r>
          </w:p>
        </w:tc>
      </w:tr>
    </w:tbl>
    <w:p/>
    <w:p>
      <w:pPr>
        <w:spacing w:line="240" w:lineRule="auto"/>
        <w:rPr>
          <w:rFonts w:hint="eastAsia"/>
          <w:sz w:val="20"/>
          <w:szCs w:val="20"/>
          <w:lang w:val="en-US" w:eastAsia="zh-CN"/>
        </w:rPr>
      </w:pPr>
      <w:r>
        <w:rPr>
          <w:rFonts w:hint="eastAsia"/>
          <w:szCs w:val="20"/>
          <w:lang w:val="en-US" w:eastAsia="zh-CN"/>
        </w:rPr>
        <w:t>In last meeting, RAN2 has agreed to support the TDM and FDM of MSG1 resources and multiplexing multiple received random IDs from different A-IoT devices in the same MSG2. As the Msg1 resources in one access occasion increase, the collision probaility of RN16 is increas</w:t>
      </w:r>
      <w:r>
        <w:rPr>
          <w:rFonts w:hint="eastAsia"/>
          <w:sz w:val="20"/>
          <w:szCs w:val="20"/>
          <w:lang w:val="en-US" w:eastAsia="zh-CN"/>
        </w:rPr>
        <w:t>ed, to solve this problem, an offline discussion was held and reached an</w:t>
      </w:r>
    </w:p>
    <w:p>
      <w:pPr>
        <w:spacing w:line="240" w:lineRule="auto"/>
        <w:rPr>
          <w:rFonts w:hint="eastAsia" w:eastAsia="MS Mincho"/>
          <w:sz w:val="20"/>
          <w:szCs w:val="20"/>
          <w:lang w:val="en-US" w:eastAsia="zh-CN"/>
        </w:rPr>
      </w:pPr>
      <w:r>
        <w:rPr>
          <w:rFonts w:hint="eastAsia"/>
          <w:sz w:val="20"/>
          <w:szCs w:val="20"/>
          <w:lang w:val="en-US" w:eastAsia="zh-CN"/>
        </w:rPr>
        <w:t xml:space="preserve">agreement that </w:t>
      </w:r>
      <w:r>
        <w:rPr>
          <w:rFonts w:hint="eastAsia"/>
          <w:sz w:val="20"/>
          <w:szCs w:val="20"/>
          <w:lang w:val="en-US" w:eastAsia="zh-CN"/>
        </w:rPr>
        <w:t>i</w:t>
      </w:r>
      <w:r>
        <w:rPr>
          <w:rFonts w:hint="eastAsia" w:ascii="Arial" w:hAnsi="Arial" w:cs="Times New Roman"/>
          <w:i w:val="0"/>
          <w:iCs w:val="0"/>
          <w:sz w:val="20"/>
          <w:szCs w:val="20"/>
          <w:lang w:val="en-US" w:eastAsia="zh-CN"/>
        </w:rPr>
        <w:t>ncluding frequency index along with RN16 in MSG2 to reduce collisions of MSG1 between different devices is feasible</w:t>
      </w:r>
      <w:r>
        <w:rPr>
          <w:rFonts w:hint="eastAsia" w:eastAsia="MS Mincho" w:cs="Times New Roman"/>
          <w:i w:val="0"/>
          <w:iCs w:val="0"/>
          <w:sz w:val="20"/>
          <w:szCs w:val="20"/>
          <w:lang w:val="en-US" w:eastAsia="zh-CN"/>
        </w:rPr>
        <w:t xml:space="preserve">, however it is still not a consensus to have it. The main concern is if the </w:t>
      </w:r>
      <w:r>
        <w:rPr>
          <w:rFonts w:hint="eastAsia" w:ascii="Arial" w:hAnsi="Arial" w:cs="Times New Roman"/>
          <w:i w:val="0"/>
          <w:iCs w:val="0"/>
          <w:sz w:val="20"/>
          <w:szCs w:val="20"/>
          <w:lang w:val="en-US" w:eastAsia="zh-CN"/>
        </w:rPr>
        <w:t>frequency index</w:t>
      </w:r>
      <w:r>
        <w:rPr>
          <w:rFonts w:hint="eastAsia" w:eastAsia="MS Mincho" w:cs="Times New Roman"/>
          <w:i w:val="0"/>
          <w:iCs w:val="0"/>
          <w:sz w:val="20"/>
          <w:szCs w:val="20"/>
          <w:lang w:val="en-US" w:eastAsia="zh-CN"/>
        </w:rPr>
        <w:t xml:space="preserve"> is</w:t>
      </w:r>
      <w:r>
        <w:rPr>
          <w:rFonts w:hint="eastAsia" w:ascii="Arial" w:hAnsi="Arial" w:cs="Times New Roman"/>
          <w:i w:val="0"/>
          <w:iCs w:val="0"/>
          <w:sz w:val="20"/>
          <w:szCs w:val="20"/>
          <w:lang w:val="en-US" w:eastAsia="zh-CN"/>
        </w:rPr>
        <w:t xml:space="preserve"> along with RN16 in MSG</w:t>
      </w:r>
      <w:r>
        <w:rPr>
          <w:rFonts w:hint="eastAsia" w:eastAsia="MS Mincho" w:cs="Times New Roman"/>
          <w:i w:val="0"/>
          <w:iCs w:val="0"/>
          <w:sz w:val="20"/>
          <w:szCs w:val="20"/>
          <w:lang w:val="en-US" w:eastAsia="zh-CN"/>
        </w:rPr>
        <w:t xml:space="preserve">2 to , it means the device has to maintain the frequency index together with the RN16, we think this doesn’t bring much device </w:t>
      </w:r>
      <w:r>
        <w:rPr>
          <w:rFonts w:hint="eastAsia" w:eastAsia="MS Mincho"/>
          <w:sz w:val="20"/>
          <w:szCs w:val="20"/>
          <w:lang w:val="en-US" w:eastAsia="zh-CN"/>
        </w:rPr>
        <w:t>complexity and this can be included.</w:t>
      </w:r>
    </w:p>
    <w:p>
      <w:pPr>
        <w:rPr>
          <w:rFonts w:hint="default" w:eastAsia="宋体" w:cs="Arial"/>
          <w:i/>
          <w:iCs/>
          <w:color w:val="5B9BD5" w:themeColor="accent1"/>
          <w:sz w:val="20"/>
          <w:szCs w:val="20"/>
          <w:lang w:val="en-US" w:eastAsia="zh-CN"/>
          <w14:textFill>
            <w14:solidFill>
              <w14:schemeClr w14:val="accent1"/>
            </w14:solidFill>
          </w14:textFill>
        </w:rPr>
      </w:pPr>
    </w:p>
    <w:p>
      <w:pPr>
        <w:pStyle w:val="6"/>
        <w:spacing w:after="313" w:afterLines="100" w:line="360" w:lineRule="auto"/>
        <w:rPr>
          <w:rFonts w:hint="default" w:eastAsia="宋体"/>
          <w:b/>
          <w:bCs w:val="0"/>
          <w:lang w:val="en-US" w:eastAsia="zh-CN"/>
        </w:rPr>
      </w:pPr>
      <w:r>
        <w:rPr>
          <w:rFonts w:hint="eastAsia" w:ascii="Arial" w:hAnsi="Arial" w:cs="Arial" w:eastAsiaTheme="minorEastAsia"/>
          <w:b/>
          <w:bCs w:val="0"/>
          <w:sz w:val="21"/>
          <w:szCs w:val="20"/>
          <w:lang w:val="en-US" w:eastAsia="zh-CN"/>
        </w:rPr>
        <w:t>Proposal</w:t>
      </w:r>
      <w:r>
        <w:rPr>
          <w:rFonts w:hint="eastAsia" w:cs="Arial" w:eastAsiaTheme="minorEastAsia"/>
          <w:b/>
          <w:bCs w:val="0"/>
          <w:sz w:val="21"/>
          <w:szCs w:val="20"/>
          <w:lang w:val="en-US" w:eastAsia="zh-CN"/>
        </w:rPr>
        <w:t xml:space="preserve"> 2</w:t>
      </w:r>
      <w:r>
        <w:rPr>
          <w:rFonts w:hint="eastAsia" w:ascii="Arial" w:hAnsi="Arial" w:cs="Arial" w:eastAsiaTheme="minorEastAsia"/>
          <w:b/>
          <w:bCs w:val="0"/>
          <w:sz w:val="21"/>
          <w:szCs w:val="20"/>
          <w:lang w:val="en-US" w:eastAsia="zh-CN"/>
        </w:rPr>
        <w:t xml:space="preserve">: </w:t>
      </w:r>
      <w:r>
        <w:rPr>
          <w:b/>
          <w:bCs w:val="0"/>
          <w:lang w:eastAsia="ko-KR"/>
        </w:rPr>
        <w:t xml:space="preserve"> </w:t>
      </w:r>
      <w:r>
        <w:rPr>
          <w:rFonts w:hint="eastAsia" w:eastAsia="宋体"/>
          <w:b/>
          <w:bCs w:val="0"/>
          <w:lang w:val="en-US" w:eastAsia="zh-CN"/>
        </w:rPr>
        <w:t>F</w:t>
      </w:r>
      <w:r>
        <w:rPr>
          <w:b/>
          <w:bCs w:val="0"/>
          <w:lang w:eastAsia="ko-KR"/>
        </w:rPr>
        <w:t xml:space="preserve">requency index </w:t>
      </w:r>
      <w:r>
        <w:rPr>
          <w:rFonts w:hint="eastAsia" w:eastAsia="宋体"/>
          <w:b/>
          <w:bCs w:val="0"/>
          <w:lang w:val="en-US" w:eastAsia="zh-CN"/>
        </w:rPr>
        <w:t xml:space="preserve">can be included </w:t>
      </w:r>
      <w:r>
        <w:rPr>
          <w:b/>
          <w:bCs w:val="0"/>
          <w:lang w:eastAsia="ko-KR"/>
        </w:rPr>
        <w:t>along with RN16 in MSG2</w:t>
      </w:r>
      <w:r>
        <w:rPr>
          <w:rFonts w:hint="eastAsia" w:eastAsia="宋体"/>
          <w:b/>
          <w:bCs w:val="0"/>
          <w:lang w:val="en-US" w:eastAsia="zh-CN"/>
        </w:rPr>
        <w:t xml:space="preserve"> to reduce collisions of MSG1 between different devices.</w:t>
      </w:r>
    </w:p>
    <w:p>
      <w:pPr>
        <w:rPr>
          <w:rFonts w:hint="default" w:eastAsia="宋体" w:cs="Arial"/>
          <w:i/>
          <w:iCs/>
          <w:color w:val="5B9BD5" w:themeColor="accent1"/>
          <w:sz w:val="20"/>
          <w:szCs w:val="20"/>
          <w:lang w:val="en-US" w:eastAsia="zh-CN"/>
          <w14:textFill>
            <w14:solidFill>
              <w14:schemeClr w14:val="accent1"/>
            </w14:solidFill>
          </w14:textFill>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A-IoT Random Access</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spacing w:after="313" w:afterLines="100" w:line="360" w:lineRule="auto"/>
        <w:rPr>
          <w:rFonts w:hint="default"/>
          <w:b/>
          <w:bCs w:val="0"/>
          <w:lang w:val="en-US" w:eastAsia="zh-CN"/>
        </w:rPr>
      </w:pPr>
      <w:r>
        <w:rPr>
          <w:rFonts w:hint="eastAsia" w:ascii="Arial" w:hAnsi="Arial" w:cs="Arial" w:eastAsiaTheme="minorEastAsia"/>
          <w:b/>
          <w:bCs w:val="0"/>
          <w:sz w:val="20"/>
          <w:szCs w:val="20"/>
          <w:lang w:val="en-US" w:eastAsia="zh-CN"/>
        </w:rPr>
        <w:t>Proposal</w:t>
      </w:r>
      <w:r>
        <w:rPr>
          <w:rFonts w:hint="eastAsia" w:cs="Arial" w:eastAsiaTheme="minorEastAsia"/>
          <w:b/>
          <w:bCs w:val="0"/>
          <w:sz w:val="20"/>
          <w:szCs w:val="20"/>
          <w:lang w:val="en-US" w:eastAsia="zh-CN"/>
        </w:rPr>
        <w:t xml:space="preserve"> 1</w:t>
      </w:r>
      <w:r>
        <w:rPr>
          <w:rFonts w:hint="eastAsia" w:ascii="Arial" w:hAnsi="Arial" w:cs="Arial" w:eastAsiaTheme="minorEastAsia"/>
          <w:b/>
          <w:bCs w:val="0"/>
          <w:sz w:val="20"/>
          <w:szCs w:val="20"/>
          <w:lang w:val="en-US" w:eastAsia="zh-CN"/>
        </w:rPr>
        <w:t xml:space="preserve">: </w:t>
      </w:r>
      <w:r>
        <w:rPr>
          <w:rFonts w:hint="eastAsia" w:cs="Arial" w:eastAsiaTheme="minorEastAsia"/>
          <w:b/>
          <w:bCs w:val="0"/>
          <w:sz w:val="20"/>
          <w:szCs w:val="20"/>
          <w:lang w:val="en-US" w:eastAsia="zh-CN"/>
        </w:rPr>
        <w:t xml:space="preserve">For MSG2 reception, </w:t>
      </w:r>
      <w:r>
        <w:rPr>
          <w:b/>
          <w:bCs w:val="0"/>
          <w:szCs w:val="20"/>
          <w:lang w:eastAsia="ko-KR"/>
        </w:rPr>
        <w:t>the boundary is the reception of either the next R2D trigger message or the subsequent paging message</w:t>
      </w:r>
      <w:r>
        <w:rPr>
          <w:rFonts w:hint="eastAsia" w:cs="Arial" w:eastAsiaTheme="minorEastAsia"/>
          <w:b/>
          <w:bCs w:val="0"/>
          <w:sz w:val="21"/>
          <w:szCs w:val="20"/>
          <w:lang w:val="en-US" w:eastAsia="zh-CN"/>
        </w:rPr>
        <w:t>.</w:t>
      </w:r>
    </w:p>
    <w:p>
      <w:pPr>
        <w:pStyle w:val="6"/>
        <w:keepNext w:val="0"/>
        <w:keepLines w:val="0"/>
        <w:pageBreakBefore w:val="0"/>
        <w:widowControl/>
        <w:kinsoku/>
        <w:wordWrap/>
        <w:overflowPunct/>
        <w:topLinePunct w:val="0"/>
        <w:autoSpaceDE/>
        <w:autoSpaceDN/>
        <w:bidi w:val="0"/>
        <w:adjustRightInd/>
        <w:snapToGrid/>
        <w:spacing w:after="313" w:afterLines="100" w:line="360" w:lineRule="auto"/>
        <w:textAlignment w:val="auto"/>
        <w:rPr>
          <w:rFonts w:hint="eastAsia" w:cs="Arial" w:eastAsiaTheme="minorEastAsia"/>
          <w:b/>
          <w:sz w:val="21"/>
          <w:szCs w:val="20"/>
          <w:lang w:val="en-GB" w:eastAsia="zh-CN"/>
        </w:rPr>
      </w:pPr>
      <w:r>
        <w:rPr>
          <w:rFonts w:hint="eastAsia" w:ascii="Arial" w:hAnsi="Arial" w:cs="Arial" w:eastAsiaTheme="minorEastAsia"/>
          <w:b/>
          <w:bCs w:val="0"/>
          <w:sz w:val="21"/>
          <w:szCs w:val="20"/>
          <w:lang w:val="en-US" w:eastAsia="zh-CN"/>
        </w:rPr>
        <w:t>Proposal</w:t>
      </w:r>
      <w:r>
        <w:rPr>
          <w:rFonts w:hint="eastAsia" w:cs="Arial" w:eastAsiaTheme="minorEastAsia"/>
          <w:b/>
          <w:bCs w:val="0"/>
          <w:sz w:val="21"/>
          <w:szCs w:val="20"/>
          <w:lang w:val="en-US" w:eastAsia="zh-CN"/>
        </w:rPr>
        <w:t xml:space="preserve"> 2</w:t>
      </w:r>
      <w:r>
        <w:rPr>
          <w:rFonts w:hint="eastAsia" w:ascii="Arial" w:hAnsi="Arial" w:cs="Arial" w:eastAsiaTheme="minorEastAsia"/>
          <w:b/>
          <w:bCs w:val="0"/>
          <w:sz w:val="21"/>
          <w:szCs w:val="20"/>
          <w:lang w:val="en-US" w:eastAsia="zh-CN"/>
        </w:rPr>
        <w:t xml:space="preserve">: </w:t>
      </w:r>
      <w:bookmarkStart w:id="1" w:name="_GoBack"/>
      <w:bookmarkEnd w:id="1"/>
      <w:r>
        <w:rPr>
          <w:rFonts w:hint="eastAsia" w:eastAsia="宋体"/>
          <w:b/>
          <w:bCs w:val="0"/>
          <w:lang w:val="en-US" w:eastAsia="zh-CN"/>
        </w:rPr>
        <w:t>F</w:t>
      </w:r>
      <w:r>
        <w:rPr>
          <w:b/>
          <w:bCs w:val="0"/>
          <w:lang w:eastAsia="ko-KR"/>
        </w:rPr>
        <w:t xml:space="preserve">requency index </w:t>
      </w:r>
      <w:r>
        <w:rPr>
          <w:rFonts w:hint="eastAsia" w:eastAsia="宋体"/>
          <w:b/>
          <w:bCs w:val="0"/>
          <w:lang w:val="en-US" w:eastAsia="zh-CN"/>
        </w:rPr>
        <w:t xml:space="preserve">can be included </w:t>
      </w:r>
      <w:r>
        <w:rPr>
          <w:b/>
          <w:bCs w:val="0"/>
          <w:lang w:eastAsia="ko-KR"/>
        </w:rPr>
        <w:t>along with RN16 in MSG2</w:t>
      </w:r>
      <w:r>
        <w:rPr>
          <w:rFonts w:hint="eastAsia" w:eastAsia="宋体"/>
          <w:b/>
          <w:bCs w:val="0"/>
          <w:lang w:val="en-US" w:eastAsia="zh-CN"/>
        </w:rPr>
        <w:t xml:space="preserve"> to reduce collisions of MSG1 between different devices.</w:t>
      </w: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9"/>
        </w:numPr>
        <w:spacing w:after="0"/>
        <w:jc w:val="both"/>
        <w:rPr>
          <w:rFonts w:hint="default"/>
          <w:sz w:val="22"/>
          <w:szCs w:val="22"/>
          <w:lang w:val="en-US"/>
        </w:rPr>
      </w:pPr>
      <w:r>
        <w:rPr>
          <w:rFonts w:hint="default" w:eastAsia="宋体"/>
          <w:sz w:val="22"/>
          <w:szCs w:val="22"/>
          <w:lang w:val="en-US" w:eastAsia="zh-CN"/>
        </w:rPr>
        <w:t>“Draft_RAN2_130_Meeting_Report_v</w:t>
      </w:r>
      <w:r>
        <w:rPr>
          <w:rFonts w:hint="eastAsia" w:eastAsia="宋体"/>
          <w:sz w:val="22"/>
          <w:szCs w:val="22"/>
          <w:lang w:val="en-US" w:eastAsia="zh-CN"/>
        </w:rPr>
        <w:t>3</w:t>
      </w:r>
      <w:r>
        <w:rPr>
          <w:rFonts w:hint="default" w:eastAsia="宋体"/>
          <w:sz w:val="22"/>
          <w:szCs w:val="22"/>
          <w:lang w:val="en-US"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8BD9CC"/>
    <w:multiLevelType w:val="multilevel"/>
    <w:tmpl w:val="A98BD9C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EF4A2D3F"/>
    <w:multiLevelType w:val="multilevel"/>
    <w:tmpl w:val="EF4A2D3F"/>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3">
    <w:nsid w:val="12B7EF70"/>
    <w:multiLevelType w:val="multilevel"/>
    <w:tmpl w:val="12B7EF70"/>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2415779C"/>
    <w:multiLevelType w:val="multilevel"/>
    <w:tmpl w:val="2415779C"/>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25073A54"/>
    <w:multiLevelType w:val="multilevel"/>
    <w:tmpl w:val="25073A5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7">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6"/>
  </w:num>
  <w:num w:numId="3">
    <w:abstractNumId w:val="7"/>
  </w:num>
  <w:num w:numId="4">
    <w:abstractNumId w:val="5"/>
  </w:num>
  <w:num w:numId="5">
    <w:abstractNumId w:val="0"/>
  </w:num>
  <w:num w:numId="6">
    <w:abstractNumId w:val="3"/>
  </w:num>
  <w:num w:numId="7">
    <w:abstractNumId w:val="1"/>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4"/>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6D2429"/>
    <w:rsid w:val="017625C7"/>
    <w:rsid w:val="01BC413C"/>
    <w:rsid w:val="026B101C"/>
    <w:rsid w:val="026D6078"/>
    <w:rsid w:val="0278364B"/>
    <w:rsid w:val="02F16840"/>
    <w:rsid w:val="03FA4B3F"/>
    <w:rsid w:val="0441406B"/>
    <w:rsid w:val="049342E7"/>
    <w:rsid w:val="04A63BBE"/>
    <w:rsid w:val="04BA00BC"/>
    <w:rsid w:val="057541E2"/>
    <w:rsid w:val="05A17499"/>
    <w:rsid w:val="05F02177"/>
    <w:rsid w:val="063E6DCB"/>
    <w:rsid w:val="06AD14D1"/>
    <w:rsid w:val="0729485D"/>
    <w:rsid w:val="074434AD"/>
    <w:rsid w:val="077E1DF5"/>
    <w:rsid w:val="085761BC"/>
    <w:rsid w:val="08705469"/>
    <w:rsid w:val="0871778C"/>
    <w:rsid w:val="08CB3099"/>
    <w:rsid w:val="09242B66"/>
    <w:rsid w:val="09AA20D3"/>
    <w:rsid w:val="09C8159B"/>
    <w:rsid w:val="0A083CCF"/>
    <w:rsid w:val="0A296EBB"/>
    <w:rsid w:val="0A943461"/>
    <w:rsid w:val="0B5A15F4"/>
    <w:rsid w:val="0C480592"/>
    <w:rsid w:val="0C8A04EF"/>
    <w:rsid w:val="0C8B3F6C"/>
    <w:rsid w:val="0CDF38AA"/>
    <w:rsid w:val="0CFB2676"/>
    <w:rsid w:val="0D086537"/>
    <w:rsid w:val="0D245A9E"/>
    <w:rsid w:val="0D6C62FD"/>
    <w:rsid w:val="0D701E08"/>
    <w:rsid w:val="0D840B99"/>
    <w:rsid w:val="0DAF7C6F"/>
    <w:rsid w:val="0EE73CC1"/>
    <w:rsid w:val="0F054467"/>
    <w:rsid w:val="0F597904"/>
    <w:rsid w:val="0F711142"/>
    <w:rsid w:val="0F737B87"/>
    <w:rsid w:val="0F846F16"/>
    <w:rsid w:val="0F970BC8"/>
    <w:rsid w:val="0FF1497D"/>
    <w:rsid w:val="102E458D"/>
    <w:rsid w:val="10664121"/>
    <w:rsid w:val="107078FB"/>
    <w:rsid w:val="10D97A01"/>
    <w:rsid w:val="10E67F91"/>
    <w:rsid w:val="10F5590A"/>
    <w:rsid w:val="10F9442F"/>
    <w:rsid w:val="110E3FBC"/>
    <w:rsid w:val="12236DB0"/>
    <w:rsid w:val="1259446D"/>
    <w:rsid w:val="12CA4226"/>
    <w:rsid w:val="134C4354"/>
    <w:rsid w:val="13D7274C"/>
    <w:rsid w:val="142030D3"/>
    <w:rsid w:val="14252D14"/>
    <w:rsid w:val="14EE3856"/>
    <w:rsid w:val="151764BF"/>
    <w:rsid w:val="152D3A5B"/>
    <w:rsid w:val="157D3398"/>
    <w:rsid w:val="16162911"/>
    <w:rsid w:val="161A2980"/>
    <w:rsid w:val="16231D84"/>
    <w:rsid w:val="166A6E0A"/>
    <w:rsid w:val="16AF5E9F"/>
    <w:rsid w:val="16FF7648"/>
    <w:rsid w:val="172B15A5"/>
    <w:rsid w:val="17990E18"/>
    <w:rsid w:val="17A24952"/>
    <w:rsid w:val="17AE7B7C"/>
    <w:rsid w:val="17C0415C"/>
    <w:rsid w:val="17E44D5C"/>
    <w:rsid w:val="1813767B"/>
    <w:rsid w:val="18891BE5"/>
    <w:rsid w:val="18C4408C"/>
    <w:rsid w:val="18FE5245"/>
    <w:rsid w:val="19033124"/>
    <w:rsid w:val="190C3624"/>
    <w:rsid w:val="190D1A9F"/>
    <w:rsid w:val="19120992"/>
    <w:rsid w:val="192B61EE"/>
    <w:rsid w:val="19CF1F1C"/>
    <w:rsid w:val="19FC3902"/>
    <w:rsid w:val="1A1C5BA9"/>
    <w:rsid w:val="1B0106E1"/>
    <w:rsid w:val="1B4F2E04"/>
    <w:rsid w:val="1B5D02DF"/>
    <w:rsid w:val="1B7F05AA"/>
    <w:rsid w:val="1B990565"/>
    <w:rsid w:val="1BB5656E"/>
    <w:rsid w:val="1BDE025F"/>
    <w:rsid w:val="1C651C0C"/>
    <w:rsid w:val="1C9E416A"/>
    <w:rsid w:val="1D5C422C"/>
    <w:rsid w:val="1D72553F"/>
    <w:rsid w:val="1D9D4FE7"/>
    <w:rsid w:val="1DB61295"/>
    <w:rsid w:val="1E7A7055"/>
    <w:rsid w:val="1E837BE2"/>
    <w:rsid w:val="1FF75154"/>
    <w:rsid w:val="205D2601"/>
    <w:rsid w:val="20EA0B5E"/>
    <w:rsid w:val="211216D1"/>
    <w:rsid w:val="21150F4A"/>
    <w:rsid w:val="21272772"/>
    <w:rsid w:val="216820E7"/>
    <w:rsid w:val="217D10FE"/>
    <w:rsid w:val="218C3C37"/>
    <w:rsid w:val="21A07045"/>
    <w:rsid w:val="21DC5F44"/>
    <w:rsid w:val="21EA7E73"/>
    <w:rsid w:val="22846486"/>
    <w:rsid w:val="22927389"/>
    <w:rsid w:val="22E661B8"/>
    <w:rsid w:val="22ED4EA9"/>
    <w:rsid w:val="2311372E"/>
    <w:rsid w:val="23313175"/>
    <w:rsid w:val="236F4355"/>
    <w:rsid w:val="244B44A4"/>
    <w:rsid w:val="24980A44"/>
    <w:rsid w:val="24F831F6"/>
    <w:rsid w:val="253A0CB4"/>
    <w:rsid w:val="253F3B36"/>
    <w:rsid w:val="255A0D1D"/>
    <w:rsid w:val="258E18C3"/>
    <w:rsid w:val="258E2521"/>
    <w:rsid w:val="25A657FD"/>
    <w:rsid w:val="25BC78D5"/>
    <w:rsid w:val="25C95136"/>
    <w:rsid w:val="25DF25F3"/>
    <w:rsid w:val="25E27EEA"/>
    <w:rsid w:val="26337514"/>
    <w:rsid w:val="2653352F"/>
    <w:rsid w:val="26F5334E"/>
    <w:rsid w:val="27264053"/>
    <w:rsid w:val="273F71A1"/>
    <w:rsid w:val="275F2582"/>
    <w:rsid w:val="276944B2"/>
    <w:rsid w:val="27DC1D9A"/>
    <w:rsid w:val="287B00A7"/>
    <w:rsid w:val="2941444C"/>
    <w:rsid w:val="29523E43"/>
    <w:rsid w:val="295D5FCB"/>
    <w:rsid w:val="2982756F"/>
    <w:rsid w:val="299E3F8A"/>
    <w:rsid w:val="2ABE6C52"/>
    <w:rsid w:val="2ABF7B59"/>
    <w:rsid w:val="2B1B06C1"/>
    <w:rsid w:val="2B1B574F"/>
    <w:rsid w:val="2B214053"/>
    <w:rsid w:val="2BAE0628"/>
    <w:rsid w:val="2C151E25"/>
    <w:rsid w:val="2C882B47"/>
    <w:rsid w:val="2CFA3372"/>
    <w:rsid w:val="2D64575D"/>
    <w:rsid w:val="2DDE21D4"/>
    <w:rsid w:val="2ECA078E"/>
    <w:rsid w:val="2EDC2122"/>
    <w:rsid w:val="2EEC38EF"/>
    <w:rsid w:val="2F264722"/>
    <w:rsid w:val="2F34150A"/>
    <w:rsid w:val="2F4F1C42"/>
    <w:rsid w:val="2F56237C"/>
    <w:rsid w:val="2FCB0EFA"/>
    <w:rsid w:val="3038562B"/>
    <w:rsid w:val="306127E8"/>
    <w:rsid w:val="307C700A"/>
    <w:rsid w:val="30F35CF8"/>
    <w:rsid w:val="31111AB1"/>
    <w:rsid w:val="314E2B20"/>
    <w:rsid w:val="315E520F"/>
    <w:rsid w:val="31675716"/>
    <w:rsid w:val="3168677E"/>
    <w:rsid w:val="319D2E0A"/>
    <w:rsid w:val="31F027DF"/>
    <w:rsid w:val="321F3E3D"/>
    <w:rsid w:val="329F15E7"/>
    <w:rsid w:val="32BB6C22"/>
    <w:rsid w:val="33031B19"/>
    <w:rsid w:val="33DE5E56"/>
    <w:rsid w:val="34682BF9"/>
    <w:rsid w:val="34FC34CD"/>
    <w:rsid w:val="354C6CDB"/>
    <w:rsid w:val="35592207"/>
    <w:rsid w:val="36040465"/>
    <w:rsid w:val="36913EB9"/>
    <w:rsid w:val="36E43987"/>
    <w:rsid w:val="36EE238F"/>
    <w:rsid w:val="37F326F9"/>
    <w:rsid w:val="381758AE"/>
    <w:rsid w:val="38263F63"/>
    <w:rsid w:val="38277C4F"/>
    <w:rsid w:val="387554D3"/>
    <w:rsid w:val="3885080A"/>
    <w:rsid w:val="38A038DB"/>
    <w:rsid w:val="38AA0169"/>
    <w:rsid w:val="38B33F69"/>
    <w:rsid w:val="39E010B6"/>
    <w:rsid w:val="39EF7A8E"/>
    <w:rsid w:val="3A0B6908"/>
    <w:rsid w:val="3A34153B"/>
    <w:rsid w:val="3A3F7324"/>
    <w:rsid w:val="3A7C338E"/>
    <w:rsid w:val="3AC13929"/>
    <w:rsid w:val="3B026B89"/>
    <w:rsid w:val="3B7F12E7"/>
    <w:rsid w:val="3BC407B7"/>
    <w:rsid w:val="3BD561D8"/>
    <w:rsid w:val="3BE31C32"/>
    <w:rsid w:val="3BE67712"/>
    <w:rsid w:val="3C752CAA"/>
    <w:rsid w:val="3C872072"/>
    <w:rsid w:val="3C93695A"/>
    <w:rsid w:val="3CAB3E2F"/>
    <w:rsid w:val="3CCF2B82"/>
    <w:rsid w:val="3CF719B2"/>
    <w:rsid w:val="3D064EB3"/>
    <w:rsid w:val="3DA755ED"/>
    <w:rsid w:val="3ED738D3"/>
    <w:rsid w:val="3F3A2108"/>
    <w:rsid w:val="3F3C3648"/>
    <w:rsid w:val="402D6EED"/>
    <w:rsid w:val="40572BA6"/>
    <w:rsid w:val="40575782"/>
    <w:rsid w:val="405B3D86"/>
    <w:rsid w:val="40987E39"/>
    <w:rsid w:val="41042A00"/>
    <w:rsid w:val="41254D39"/>
    <w:rsid w:val="41A229C0"/>
    <w:rsid w:val="41FA152C"/>
    <w:rsid w:val="421624E8"/>
    <w:rsid w:val="421B5540"/>
    <w:rsid w:val="427F40C3"/>
    <w:rsid w:val="433F51D5"/>
    <w:rsid w:val="4379118C"/>
    <w:rsid w:val="43F1148F"/>
    <w:rsid w:val="440B0F36"/>
    <w:rsid w:val="446E3F52"/>
    <w:rsid w:val="44724F1D"/>
    <w:rsid w:val="448E1E9E"/>
    <w:rsid w:val="44D90FC8"/>
    <w:rsid w:val="44DD285F"/>
    <w:rsid w:val="44F70184"/>
    <w:rsid w:val="45052547"/>
    <w:rsid w:val="45581B60"/>
    <w:rsid w:val="45982D3F"/>
    <w:rsid w:val="45AE5EB3"/>
    <w:rsid w:val="466B78DE"/>
    <w:rsid w:val="47755220"/>
    <w:rsid w:val="47B4251A"/>
    <w:rsid w:val="47B61984"/>
    <w:rsid w:val="47CC5B84"/>
    <w:rsid w:val="48224C4E"/>
    <w:rsid w:val="48771FF6"/>
    <w:rsid w:val="48BA6772"/>
    <w:rsid w:val="48D47265"/>
    <w:rsid w:val="497A2805"/>
    <w:rsid w:val="49894B23"/>
    <w:rsid w:val="49AD48BF"/>
    <w:rsid w:val="4A133AA2"/>
    <w:rsid w:val="4A212B31"/>
    <w:rsid w:val="4A467C94"/>
    <w:rsid w:val="4A475B7C"/>
    <w:rsid w:val="4A4C681A"/>
    <w:rsid w:val="4A892E1A"/>
    <w:rsid w:val="4BA75289"/>
    <w:rsid w:val="4BF031D2"/>
    <w:rsid w:val="4CA501B4"/>
    <w:rsid w:val="4CEB6606"/>
    <w:rsid w:val="4D07297E"/>
    <w:rsid w:val="4D0F61E3"/>
    <w:rsid w:val="4DBA64D0"/>
    <w:rsid w:val="4DC01E5E"/>
    <w:rsid w:val="4DE56289"/>
    <w:rsid w:val="4E5308E7"/>
    <w:rsid w:val="4EF2504D"/>
    <w:rsid w:val="4EF35239"/>
    <w:rsid w:val="4F305F01"/>
    <w:rsid w:val="4FC5637B"/>
    <w:rsid w:val="4FE74116"/>
    <w:rsid w:val="4FF20095"/>
    <w:rsid w:val="50486FE9"/>
    <w:rsid w:val="505952FE"/>
    <w:rsid w:val="505D4828"/>
    <w:rsid w:val="512637BE"/>
    <w:rsid w:val="51292B01"/>
    <w:rsid w:val="512C578B"/>
    <w:rsid w:val="513F69E1"/>
    <w:rsid w:val="52731D06"/>
    <w:rsid w:val="529A7957"/>
    <w:rsid w:val="53EA6F9A"/>
    <w:rsid w:val="53F070C1"/>
    <w:rsid w:val="545D2BA8"/>
    <w:rsid w:val="54A934E9"/>
    <w:rsid w:val="54F44BA6"/>
    <w:rsid w:val="55201BA8"/>
    <w:rsid w:val="55983F91"/>
    <w:rsid w:val="559B01A2"/>
    <w:rsid w:val="55B4202C"/>
    <w:rsid w:val="55C500DF"/>
    <w:rsid w:val="55DA4CD9"/>
    <w:rsid w:val="56870F30"/>
    <w:rsid w:val="569228A9"/>
    <w:rsid w:val="56F007AB"/>
    <w:rsid w:val="571F3DCD"/>
    <w:rsid w:val="5731633C"/>
    <w:rsid w:val="583140F1"/>
    <w:rsid w:val="58774338"/>
    <w:rsid w:val="58DD1878"/>
    <w:rsid w:val="58E619F6"/>
    <w:rsid w:val="59BE34E8"/>
    <w:rsid w:val="5A0B65E0"/>
    <w:rsid w:val="5A4B4D4E"/>
    <w:rsid w:val="5A6C32D7"/>
    <w:rsid w:val="5AA50E0C"/>
    <w:rsid w:val="5B854011"/>
    <w:rsid w:val="5BCF629C"/>
    <w:rsid w:val="5C081964"/>
    <w:rsid w:val="5C5D662E"/>
    <w:rsid w:val="5C7E09C3"/>
    <w:rsid w:val="5D1B6016"/>
    <w:rsid w:val="5D53233E"/>
    <w:rsid w:val="5D54635C"/>
    <w:rsid w:val="5D5B1B63"/>
    <w:rsid w:val="5D663CA7"/>
    <w:rsid w:val="5E032063"/>
    <w:rsid w:val="5E0C53FA"/>
    <w:rsid w:val="5E3C4F06"/>
    <w:rsid w:val="5E660896"/>
    <w:rsid w:val="5E917379"/>
    <w:rsid w:val="5EA25936"/>
    <w:rsid w:val="5EE34F16"/>
    <w:rsid w:val="5EEF60AA"/>
    <w:rsid w:val="5EF55435"/>
    <w:rsid w:val="5EF7417A"/>
    <w:rsid w:val="5F313438"/>
    <w:rsid w:val="5F3A2579"/>
    <w:rsid w:val="5FA85D0A"/>
    <w:rsid w:val="5FB546F2"/>
    <w:rsid w:val="5FBE6E63"/>
    <w:rsid w:val="60507E6D"/>
    <w:rsid w:val="6090406B"/>
    <w:rsid w:val="60EE4B46"/>
    <w:rsid w:val="61662F00"/>
    <w:rsid w:val="61B805F3"/>
    <w:rsid w:val="6227137B"/>
    <w:rsid w:val="62750521"/>
    <w:rsid w:val="62E378E6"/>
    <w:rsid w:val="63107C4E"/>
    <w:rsid w:val="636359AC"/>
    <w:rsid w:val="639C4198"/>
    <w:rsid w:val="64082F38"/>
    <w:rsid w:val="64246DD5"/>
    <w:rsid w:val="64376585"/>
    <w:rsid w:val="643816EF"/>
    <w:rsid w:val="6442112C"/>
    <w:rsid w:val="646D6FF1"/>
    <w:rsid w:val="64CC3670"/>
    <w:rsid w:val="64D627EE"/>
    <w:rsid w:val="64E400F0"/>
    <w:rsid w:val="65372D6A"/>
    <w:rsid w:val="655855F6"/>
    <w:rsid w:val="6574461E"/>
    <w:rsid w:val="65A33A9F"/>
    <w:rsid w:val="65C620D8"/>
    <w:rsid w:val="662919EF"/>
    <w:rsid w:val="662D4756"/>
    <w:rsid w:val="668F0881"/>
    <w:rsid w:val="66ED123D"/>
    <w:rsid w:val="66EE5EB2"/>
    <w:rsid w:val="67501472"/>
    <w:rsid w:val="67526135"/>
    <w:rsid w:val="676E35D8"/>
    <w:rsid w:val="6770270C"/>
    <w:rsid w:val="67E57609"/>
    <w:rsid w:val="67FC5648"/>
    <w:rsid w:val="68136DF9"/>
    <w:rsid w:val="68467009"/>
    <w:rsid w:val="685A4CFC"/>
    <w:rsid w:val="68835C7D"/>
    <w:rsid w:val="68843869"/>
    <w:rsid w:val="68B056ED"/>
    <w:rsid w:val="68D74AB5"/>
    <w:rsid w:val="68FA34CE"/>
    <w:rsid w:val="69851117"/>
    <w:rsid w:val="69957377"/>
    <w:rsid w:val="69E75F80"/>
    <w:rsid w:val="6A1D554E"/>
    <w:rsid w:val="6A227A14"/>
    <w:rsid w:val="6A2A1BFB"/>
    <w:rsid w:val="6A9A28DD"/>
    <w:rsid w:val="6B230E25"/>
    <w:rsid w:val="6B5F3459"/>
    <w:rsid w:val="6BBD35E1"/>
    <w:rsid w:val="6BD84F85"/>
    <w:rsid w:val="6D186743"/>
    <w:rsid w:val="6D657093"/>
    <w:rsid w:val="6D912D15"/>
    <w:rsid w:val="6DB773DA"/>
    <w:rsid w:val="6DC32F00"/>
    <w:rsid w:val="6DF3417E"/>
    <w:rsid w:val="6F7A7829"/>
    <w:rsid w:val="6F8945E5"/>
    <w:rsid w:val="7000610B"/>
    <w:rsid w:val="701647AB"/>
    <w:rsid w:val="70DA0C2F"/>
    <w:rsid w:val="70F449A8"/>
    <w:rsid w:val="71526A6E"/>
    <w:rsid w:val="71E9466D"/>
    <w:rsid w:val="728F5634"/>
    <w:rsid w:val="72DA7BC8"/>
    <w:rsid w:val="72FE15D1"/>
    <w:rsid w:val="732F74F2"/>
    <w:rsid w:val="733629F2"/>
    <w:rsid w:val="73510555"/>
    <w:rsid w:val="736B747C"/>
    <w:rsid w:val="736F3978"/>
    <w:rsid w:val="7377058B"/>
    <w:rsid w:val="739F626B"/>
    <w:rsid w:val="740E42DE"/>
    <w:rsid w:val="744E78C9"/>
    <w:rsid w:val="74FE2154"/>
    <w:rsid w:val="7541042C"/>
    <w:rsid w:val="755D5E57"/>
    <w:rsid w:val="758B55DE"/>
    <w:rsid w:val="75AB68F1"/>
    <w:rsid w:val="75D904B6"/>
    <w:rsid w:val="75E634E3"/>
    <w:rsid w:val="75E80709"/>
    <w:rsid w:val="762B57C5"/>
    <w:rsid w:val="767E3B53"/>
    <w:rsid w:val="76A019F5"/>
    <w:rsid w:val="76C51939"/>
    <w:rsid w:val="774F103A"/>
    <w:rsid w:val="77C3371E"/>
    <w:rsid w:val="77E058FB"/>
    <w:rsid w:val="78071F72"/>
    <w:rsid w:val="781B1DA5"/>
    <w:rsid w:val="786414B4"/>
    <w:rsid w:val="78774C15"/>
    <w:rsid w:val="78827AE1"/>
    <w:rsid w:val="78AE26CF"/>
    <w:rsid w:val="799465E1"/>
    <w:rsid w:val="79A36E38"/>
    <w:rsid w:val="79AD14BA"/>
    <w:rsid w:val="79D35A65"/>
    <w:rsid w:val="79DF4049"/>
    <w:rsid w:val="7A102ABD"/>
    <w:rsid w:val="7A2F2424"/>
    <w:rsid w:val="7B24076C"/>
    <w:rsid w:val="7B764BBF"/>
    <w:rsid w:val="7B7A37E2"/>
    <w:rsid w:val="7B84483F"/>
    <w:rsid w:val="7BA01263"/>
    <w:rsid w:val="7C1164A2"/>
    <w:rsid w:val="7C5B2870"/>
    <w:rsid w:val="7CB960BC"/>
    <w:rsid w:val="7D3C12C6"/>
    <w:rsid w:val="7D876979"/>
    <w:rsid w:val="7DCB2B8A"/>
    <w:rsid w:val="7DDD21DB"/>
    <w:rsid w:val="7EA24DF3"/>
    <w:rsid w:val="7EAD531F"/>
    <w:rsid w:val="7EB6157B"/>
    <w:rsid w:val="7EC76F8B"/>
    <w:rsid w:val="7ED27CCA"/>
    <w:rsid w:val="7F1C604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Transsion-ww</cp:lastModifiedBy>
  <dcterms:modified xsi:type="dcterms:W3CDTF">2025-08-12T02:31:09Z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